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A8" w:rsidRPr="00DD73A8" w:rsidRDefault="00DD73A8" w:rsidP="00DD73A8">
      <w:pPr>
        <w:pStyle w:val="NoSpacing"/>
        <w:jc w:val="both"/>
        <w:rPr>
          <w:rFonts w:ascii="Trebuchet MS" w:hAnsi="Trebuchet MS"/>
          <w:b/>
          <w:sz w:val="24"/>
          <w:szCs w:val="24"/>
        </w:rPr>
      </w:pPr>
      <w:r w:rsidRPr="00DD73A8">
        <w:rPr>
          <w:rFonts w:ascii="Trebuchet MS" w:hAnsi="Trebuchet MS"/>
          <w:b/>
          <w:sz w:val="24"/>
          <w:szCs w:val="24"/>
        </w:rPr>
        <w:t xml:space="preserve">ANNOUNCEMENT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b/>
          <w:sz w:val="24"/>
          <w:szCs w:val="24"/>
        </w:rPr>
      </w:pPr>
      <w:r w:rsidRPr="00DD73A8">
        <w:rPr>
          <w:rFonts w:ascii="Trebuchet MS" w:hAnsi="Trebuchet MS"/>
          <w:b/>
          <w:sz w:val="24"/>
          <w:szCs w:val="24"/>
        </w:rPr>
        <w:t xml:space="preserve">Training Workshop on Combating Violence Against Women in Africa  </w:t>
      </w:r>
    </w:p>
    <w:p w:rsidR="00DD73A8" w:rsidRPr="00DD73A8" w:rsidRDefault="00DD73A8" w:rsidP="00DD73A8">
      <w:pPr>
        <w:pStyle w:val="NoSpacing"/>
        <w:ind w:left="720"/>
        <w:jc w:val="both"/>
        <w:rPr>
          <w:rFonts w:ascii="Trebuchet MS" w:hAnsi="Trebuchet MS"/>
          <w:i/>
          <w:sz w:val="24"/>
          <w:szCs w:val="24"/>
        </w:rPr>
      </w:pPr>
      <w:r w:rsidRPr="00DD73A8">
        <w:rPr>
          <w:rFonts w:ascii="Trebuchet MS" w:hAnsi="Trebuchet MS"/>
          <w:i/>
          <w:sz w:val="24"/>
          <w:szCs w:val="24"/>
        </w:rPr>
        <w:t xml:space="preserve">Dates: 25–29 November 2024  </w:t>
      </w:r>
    </w:p>
    <w:p w:rsidR="00DD73A8" w:rsidRPr="00DD73A8" w:rsidRDefault="00DD73A8" w:rsidP="00DD73A8">
      <w:pPr>
        <w:pStyle w:val="NoSpacing"/>
        <w:ind w:left="720"/>
        <w:jc w:val="both"/>
        <w:rPr>
          <w:rFonts w:ascii="Trebuchet MS" w:hAnsi="Trebuchet MS"/>
          <w:i/>
          <w:sz w:val="24"/>
          <w:szCs w:val="24"/>
        </w:rPr>
      </w:pPr>
      <w:r w:rsidRPr="00DD73A8">
        <w:rPr>
          <w:rFonts w:ascii="Trebuchet MS" w:hAnsi="Trebuchet MS"/>
          <w:i/>
          <w:sz w:val="24"/>
          <w:szCs w:val="24"/>
        </w:rPr>
        <w:t xml:space="preserve">Venue: Arusha, Tanzania  </w:t>
      </w:r>
    </w:p>
    <w:p w:rsidR="00DD73A8" w:rsidRPr="00DD73A8" w:rsidRDefault="00DD73A8" w:rsidP="00DD73A8">
      <w:pPr>
        <w:pStyle w:val="NoSpacing"/>
        <w:ind w:left="720"/>
        <w:jc w:val="both"/>
        <w:rPr>
          <w:rFonts w:ascii="Trebuchet MS" w:hAnsi="Trebuchet MS"/>
          <w:sz w:val="24"/>
          <w:szCs w:val="24"/>
        </w:rPr>
      </w:pPr>
      <w:r w:rsidRPr="00DD73A8">
        <w:rPr>
          <w:rFonts w:ascii="Trebuchet MS" w:hAnsi="Trebuchet MS"/>
          <w:i/>
          <w:sz w:val="24"/>
          <w:szCs w:val="24"/>
        </w:rPr>
        <w:t>Host: African Institute of International Law</w:t>
      </w:r>
      <w:r w:rsidRPr="00DD73A8">
        <w:rPr>
          <w:rFonts w:ascii="Trebuchet MS" w:hAnsi="Trebuchet MS"/>
          <w:sz w:val="24"/>
          <w:szCs w:val="24"/>
        </w:rPr>
        <w:t xml:space="preserve">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The African Institute of International Law (AIIL) is delighted to announce a landmark five-day Training Workshop on Combating Violence Against Women in Africa, aimed at addressing critical challenges in safeguarding women’s rights and fostering gender equality across the continent.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This comprehensive workshop will convene a diverse group of stakeholders, including legal professionals, government officials, civil society organizations, grassroots advocates, and academics, to collaboratively develop actionable solutions to combat violence against women.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b/>
          <w:sz w:val="24"/>
          <w:szCs w:val="24"/>
        </w:rPr>
      </w:pPr>
      <w:r w:rsidRPr="00DD73A8">
        <w:rPr>
          <w:rFonts w:ascii="Trebuchet MS" w:hAnsi="Trebuchet MS"/>
          <w:sz w:val="24"/>
          <w:szCs w:val="24"/>
        </w:rPr>
        <w:t xml:space="preserve"> </w:t>
      </w:r>
      <w:r w:rsidRPr="00DD73A8">
        <w:rPr>
          <w:rFonts w:ascii="Trebuchet MS" w:hAnsi="Trebuchet MS"/>
          <w:b/>
          <w:sz w:val="24"/>
          <w:szCs w:val="24"/>
        </w:rPr>
        <w:t xml:space="preserve">Why Attend?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In the face of alarming setbacks, including increased conflict-related sexual violence, femicide, and harmful traditional practices such as child marriage and Female Genital Mutilation (FGM), the workshop provides a platform to: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Deepen understanding of international, regional, and national legal frameworks on women's rights.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Share best practices and strategies for addressing violence against women.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Build networks to advance coordinated, impactful advocacy and legal reforms.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Equip participants with practical skills to promote legislative and community-based solutions.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b/>
          <w:sz w:val="24"/>
          <w:szCs w:val="24"/>
        </w:rPr>
      </w:pPr>
      <w:r w:rsidRPr="00DD73A8">
        <w:rPr>
          <w:rFonts w:ascii="Trebuchet MS" w:hAnsi="Trebuchet MS"/>
          <w:sz w:val="24"/>
          <w:szCs w:val="24"/>
        </w:rPr>
        <w:t xml:space="preserve"> </w:t>
      </w:r>
      <w:r w:rsidRPr="00DD73A8">
        <w:rPr>
          <w:rFonts w:ascii="Trebuchet MS" w:hAnsi="Trebuchet MS"/>
          <w:b/>
          <w:sz w:val="24"/>
          <w:szCs w:val="24"/>
        </w:rPr>
        <w:t xml:space="preserve">Key Highlights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Interactive Sessions: Engage with expert-led presentations, case studies, and practical exercises.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Knowledge Exchange: Participate in peer-to-peer learning and collaboration.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Empowerment: Develop strategic advocacy and litigation plans tailored to combat violence against women.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Timely Action: Address urgent challenges, including legislative rollbacks and increasing violence against women's rights defenders.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b/>
          <w:sz w:val="24"/>
          <w:szCs w:val="24"/>
        </w:rPr>
      </w:pPr>
      <w:r w:rsidRPr="00DD73A8">
        <w:rPr>
          <w:rFonts w:ascii="Trebuchet MS" w:hAnsi="Trebuchet MS"/>
          <w:sz w:val="24"/>
          <w:szCs w:val="24"/>
        </w:rPr>
        <w:t xml:space="preserve"> </w:t>
      </w:r>
      <w:r w:rsidRPr="00DD73A8">
        <w:rPr>
          <w:rFonts w:ascii="Trebuchet MS" w:hAnsi="Trebuchet MS"/>
          <w:b/>
          <w:sz w:val="24"/>
          <w:szCs w:val="24"/>
        </w:rPr>
        <w:t xml:space="preserve">Who Should Attend?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This workshop is tailored for: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Legal professionals: lawyers, judges, and policymakers.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Government officials: law enforcement, policy drafters, and decision-makers.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Civil society leaders: advocates for women's rights, gender equality, and social justice.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Grassroots activists and community leaders.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Academics and researchers in gender studies, human rights, and law.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b/>
          <w:sz w:val="24"/>
          <w:szCs w:val="24"/>
        </w:rPr>
      </w:pPr>
      <w:r w:rsidRPr="00DD73A8">
        <w:rPr>
          <w:rFonts w:ascii="Trebuchet MS" w:hAnsi="Trebuchet MS"/>
          <w:sz w:val="24"/>
          <w:szCs w:val="24"/>
        </w:rPr>
        <w:t xml:space="preserve"> </w:t>
      </w:r>
      <w:r w:rsidRPr="00DD73A8">
        <w:rPr>
          <w:rFonts w:ascii="Trebuchet MS" w:hAnsi="Trebuchet MS"/>
          <w:b/>
          <w:sz w:val="24"/>
          <w:szCs w:val="24"/>
        </w:rPr>
        <w:t xml:space="preserve">Expected Outcomes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lastRenderedPageBreak/>
        <w:t xml:space="preserve">Participants will leave equipped with: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A comprehensive understanding of tools and mechanisms to combat violence against women.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Enhanced advocacy skills and strategies to advance women's rights.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Strengthened networks to drive collective efforts in promoting gender equality.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 Action plans to implement transformative changes within their spheres of influence.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b/>
          <w:sz w:val="24"/>
          <w:szCs w:val="24"/>
        </w:rPr>
      </w:pPr>
      <w:r w:rsidRPr="00DD73A8">
        <w:rPr>
          <w:rFonts w:ascii="Trebuchet MS" w:hAnsi="Trebuchet MS"/>
          <w:sz w:val="24"/>
          <w:szCs w:val="24"/>
        </w:rPr>
        <w:t xml:space="preserve"> </w:t>
      </w:r>
      <w:r w:rsidRPr="00DD73A8">
        <w:rPr>
          <w:rFonts w:ascii="Trebuchet MS" w:hAnsi="Trebuchet MS"/>
          <w:b/>
          <w:sz w:val="24"/>
          <w:szCs w:val="24"/>
        </w:rPr>
        <w:t xml:space="preserve">Special Acknowledgment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We extend our profound gratitude to the Swiss Federal Department of Foreign Affairs (FDFA) for their generous funding of this workshop. Their unwavering support underscores their commitment to advancing women’s rights and combating violence against women in Africa.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b/>
          <w:sz w:val="24"/>
          <w:szCs w:val="24"/>
        </w:rPr>
      </w:pPr>
      <w:r w:rsidRPr="00DD73A8">
        <w:rPr>
          <w:rFonts w:ascii="Trebuchet MS" w:hAnsi="Trebuchet MS"/>
          <w:sz w:val="24"/>
          <w:szCs w:val="24"/>
        </w:rPr>
        <w:t xml:space="preserve"> </w:t>
      </w:r>
      <w:r w:rsidRPr="00DD73A8">
        <w:rPr>
          <w:rFonts w:ascii="Trebuchet MS" w:hAnsi="Trebuchet MS"/>
          <w:b/>
          <w:sz w:val="24"/>
          <w:szCs w:val="24"/>
        </w:rPr>
        <w:t xml:space="preserve">Join Us in Making a Difference  </w:t>
      </w: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This workshop is a pivotal step in our ongoing efforts to combat violence against women and foster a rules-based approach to pan-African integration and social justice.  </w:t>
      </w:r>
    </w:p>
    <w:p w:rsidR="00DD73A8" w:rsidRPr="00DD73A8" w:rsidRDefault="00DD73A8" w:rsidP="00DD73A8">
      <w:pPr>
        <w:pStyle w:val="NoSpacing"/>
        <w:jc w:val="both"/>
        <w:rPr>
          <w:rFonts w:ascii="Trebuchet MS" w:hAnsi="Trebuchet MS"/>
          <w:sz w:val="24"/>
          <w:szCs w:val="24"/>
        </w:rPr>
      </w:pP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For more information and to register, contact:  </w:t>
      </w:r>
    </w:p>
    <w:p w:rsidR="00DD73A8" w:rsidRPr="00DD73A8" w:rsidRDefault="00DD73A8" w:rsidP="00DD73A8">
      <w:pPr>
        <w:pStyle w:val="NoSpacing"/>
        <w:ind w:left="720"/>
        <w:jc w:val="both"/>
        <w:rPr>
          <w:rFonts w:ascii="Trebuchet MS" w:hAnsi="Trebuchet MS"/>
          <w:sz w:val="24"/>
          <w:szCs w:val="24"/>
        </w:rPr>
      </w:pPr>
      <w:r w:rsidRPr="00DD73A8">
        <w:rPr>
          <w:rFonts w:ascii="Trebuchet MS" w:hAnsi="Trebuchet MS"/>
          <w:sz w:val="24"/>
          <w:szCs w:val="24"/>
        </w:rPr>
        <w:t xml:space="preserve">Prof. Mathias G. Sahinkuye  </w:t>
      </w:r>
    </w:p>
    <w:p w:rsidR="00DD73A8" w:rsidRPr="00DD73A8" w:rsidRDefault="00DD73A8" w:rsidP="00DD73A8">
      <w:pPr>
        <w:pStyle w:val="NoSpacing"/>
        <w:ind w:left="720"/>
        <w:jc w:val="both"/>
        <w:rPr>
          <w:rFonts w:ascii="Trebuchet MS" w:hAnsi="Trebuchet MS"/>
          <w:sz w:val="24"/>
          <w:szCs w:val="24"/>
        </w:rPr>
      </w:pPr>
      <w:r w:rsidRPr="00DD73A8">
        <w:rPr>
          <w:rFonts w:ascii="Segoe UI Symbol" w:hAnsi="Segoe UI Symbol" w:cs="Segoe UI Symbol"/>
          <w:sz w:val="24"/>
          <w:szCs w:val="24"/>
        </w:rPr>
        <w:t>📧</w:t>
      </w:r>
      <w:r w:rsidRPr="00DD73A8">
        <w:rPr>
          <w:rFonts w:ascii="Trebuchet MS" w:hAnsi="Trebuchet MS"/>
          <w:sz w:val="24"/>
          <w:szCs w:val="24"/>
        </w:rPr>
        <w:t xml:space="preserve"> gsmathias13@gmail.com | programs@aiil-iadi.org  </w:t>
      </w:r>
    </w:p>
    <w:p w:rsidR="00DD73A8" w:rsidRPr="00DD73A8" w:rsidRDefault="00DD73A8" w:rsidP="00DD73A8">
      <w:pPr>
        <w:pStyle w:val="NoSpacing"/>
        <w:ind w:left="720"/>
        <w:jc w:val="both"/>
        <w:rPr>
          <w:rFonts w:ascii="Trebuchet MS" w:hAnsi="Trebuchet MS"/>
          <w:sz w:val="24"/>
          <w:szCs w:val="24"/>
        </w:rPr>
      </w:pPr>
      <w:r w:rsidRPr="00DD73A8">
        <w:rPr>
          <w:rFonts w:ascii="Segoe UI Symbol" w:hAnsi="Segoe UI Symbol" w:cs="Segoe UI Symbol"/>
          <w:sz w:val="24"/>
          <w:szCs w:val="24"/>
        </w:rPr>
        <w:t>📱</w:t>
      </w:r>
      <w:r w:rsidRPr="00DD73A8">
        <w:rPr>
          <w:rFonts w:ascii="Trebuchet MS" w:hAnsi="Trebuchet MS"/>
          <w:sz w:val="24"/>
          <w:szCs w:val="24"/>
        </w:rPr>
        <w:t xml:space="preserve"> Phone/WhatsApp: +255 710 732 590  </w:t>
      </w:r>
    </w:p>
    <w:p w:rsidR="00DD73A8" w:rsidRPr="00DD73A8" w:rsidRDefault="00DD73A8" w:rsidP="00DD73A8">
      <w:pPr>
        <w:pStyle w:val="NoSpacing"/>
        <w:ind w:left="720"/>
        <w:jc w:val="both"/>
        <w:rPr>
          <w:rFonts w:ascii="Trebuchet MS" w:hAnsi="Trebuchet MS"/>
          <w:sz w:val="24"/>
          <w:szCs w:val="24"/>
        </w:rPr>
      </w:pPr>
    </w:p>
    <w:p w:rsidR="00DD73A8" w:rsidRPr="00DD73A8" w:rsidRDefault="00DD73A8" w:rsidP="00DD73A8">
      <w:pPr>
        <w:pStyle w:val="NoSpacing"/>
        <w:jc w:val="both"/>
        <w:rPr>
          <w:rFonts w:ascii="Trebuchet MS" w:hAnsi="Trebuchet MS"/>
          <w:sz w:val="24"/>
          <w:szCs w:val="24"/>
        </w:rPr>
      </w:pPr>
      <w:r w:rsidRPr="00DD73A8">
        <w:rPr>
          <w:rFonts w:ascii="Trebuchet MS" w:hAnsi="Trebuchet MS"/>
          <w:sz w:val="24"/>
          <w:szCs w:val="24"/>
        </w:rPr>
        <w:t xml:space="preserve">Together, let’s champion the cause of women’s rights and create a safer, more equitable Africa.  </w:t>
      </w:r>
      <w:bookmarkStart w:id="0" w:name="_GoBack"/>
      <w:bookmarkEnd w:id="0"/>
    </w:p>
    <w:sectPr w:rsidR="00DD73A8" w:rsidRPr="00DD7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A2530"/>
    <w:multiLevelType w:val="hybridMultilevel"/>
    <w:tmpl w:val="5778F4B2"/>
    <w:lvl w:ilvl="0" w:tplc="BFD61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A8"/>
    <w:rsid w:val="00521A70"/>
    <w:rsid w:val="00DD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3527"/>
  <w15:chartTrackingRefBased/>
  <w15:docId w15:val="{CE6CB63B-5714-44E1-9C03-2303830D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3A8"/>
    <w:pPr>
      <w:spacing w:after="0" w:line="240" w:lineRule="auto"/>
    </w:pPr>
  </w:style>
  <w:style w:type="character" w:styleId="Hyperlink">
    <w:name w:val="Hyperlink"/>
    <w:rsid w:val="00DD73A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Prof.Sahinkuye</dc:creator>
  <cp:keywords/>
  <dc:description/>
  <cp:lastModifiedBy>Prof.Sahinkuye</cp:lastModifiedBy>
  <cp:revision>1</cp:revision>
  <dcterms:created xsi:type="dcterms:W3CDTF">2024-11-20T10:19:00Z</dcterms:created>
  <dcterms:modified xsi:type="dcterms:W3CDTF">2024-11-20T10:27:00Z</dcterms:modified>
</cp:coreProperties>
</file>